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0"/>
          <w:szCs w:val="20"/>
        </w:rPr>
      </w:pPr>
      <w:r w:rsidDel="00000000" w:rsidR="00000000" w:rsidRPr="00000000">
        <w:rPr>
          <w:rFonts w:ascii="Arial" w:cs="Arial" w:eastAsia="Arial" w:hAnsi="Arial"/>
          <w:sz w:val="20"/>
          <w:szCs w:val="20"/>
          <w:rtl w:val="0"/>
        </w:rPr>
        <w:t xml:space="preserve">SHPA Finance Committee Meeting – November 1, 2022 (draft)</w:t>
      </w:r>
    </w:p>
    <w:p w:rsidR="00000000" w:rsidDel="00000000" w:rsidP="00000000" w:rsidRDefault="00000000" w:rsidRPr="00000000" w14:paraId="00000002">
      <w:pPr>
        <w:rPr>
          <w:rFonts w:ascii="Arial" w:cs="Arial" w:eastAsia="Arial" w:hAnsi="Arial"/>
          <w:sz w:val="20"/>
          <w:szCs w:val="20"/>
        </w:rPr>
      </w:pPr>
      <w:r w:rsidDel="00000000" w:rsidR="00000000" w:rsidRPr="00000000">
        <w:rPr>
          <w:rFonts w:ascii="Arial" w:cs="Arial" w:eastAsia="Arial" w:hAnsi="Arial"/>
          <w:sz w:val="20"/>
          <w:szCs w:val="20"/>
          <w:rtl w:val="0"/>
        </w:rPr>
        <w:t xml:space="preserve">Via Google Hangouts video conference</w:t>
      </w:r>
    </w:p>
    <w:p w:rsidR="00000000" w:rsidDel="00000000" w:rsidP="00000000" w:rsidRDefault="00000000" w:rsidRPr="00000000" w14:paraId="0000000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4">
      <w:pPr>
        <w:spacing w:after="0" w:lineRule="auto"/>
        <w:ind w:left="252"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x Lisa Barnidge</w:t>
        <w:tab/>
        <w:tab/>
        <w:tab/>
        <w:tab/>
        <w:tab/>
        <w:tab/>
        <w:t xml:space="preserve">x Brent Peterson</w:t>
      </w:r>
    </w:p>
    <w:p w:rsidR="00000000" w:rsidDel="00000000" w:rsidP="00000000" w:rsidRDefault="00000000" w:rsidRPr="00000000" w14:paraId="00000005">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x Mike Meyer-chair</w:t>
        <w:tab/>
        <w:tab/>
        <w:tab/>
        <w:t xml:space="preserve"> </w:t>
        <w:tab/>
        <w:tab/>
        <w:tab/>
        <w:t xml:space="preserve">x Carolyn Farrell</w:t>
      </w:r>
    </w:p>
    <w:p w:rsidR="00000000" w:rsidDel="00000000" w:rsidP="00000000" w:rsidRDefault="00000000" w:rsidRPr="00000000" w14:paraId="00000006">
      <w:pPr>
        <w:spacing w:after="0" w:lineRule="auto"/>
        <w:ind w:left="252"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x Kate Docken</w:t>
        <w:tab/>
        <w:tab/>
        <w:tab/>
        <w:tab/>
        <w:tab/>
        <w:tab/>
        <w:t xml:space="preserve">x Chris Lamprecht</w:t>
      </w:r>
    </w:p>
    <w:p w:rsidR="00000000" w:rsidDel="00000000" w:rsidP="00000000" w:rsidRDefault="00000000" w:rsidRPr="00000000" w14:paraId="00000007">
      <w:pPr>
        <w:spacing w:after="0" w:lineRule="auto"/>
        <w:ind w:left="252"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x Wes Whalberg</w:t>
        <w:tab/>
        <w:tab/>
        <w:tab/>
        <w:tab/>
        <w:tab/>
        <w:t xml:space="preserve">                Renson Anjere</w:t>
      </w:r>
    </w:p>
    <w:p w:rsidR="00000000" w:rsidDel="00000000" w:rsidP="00000000" w:rsidRDefault="00000000" w:rsidRPr="00000000" w14:paraId="00000008">
      <w:pPr>
        <w:spacing w:after="0" w:lineRule="auto"/>
        <w:ind w:left="252" w:hanging="252"/>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 xml:space="preserve">   </w:t>
      </w:r>
    </w:p>
    <w:p w:rsidR="00000000" w:rsidDel="00000000" w:rsidP="00000000" w:rsidRDefault="00000000" w:rsidRPr="00000000" w14:paraId="00000009">
      <w:pPr>
        <w:spacing w:after="0" w:lineRule="auto"/>
        <w:ind w:left="252" w:hanging="252"/>
        <w:rPr>
          <w:rFonts w:ascii="Arial" w:cs="Arial" w:eastAsia="Arial" w:hAnsi="Arial"/>
          <w:sz w:val="20"/>
          <w:szCs w:val="20"/>
        </w:rPr>
      </w:pPr>
      <w:r w:rsidDel="00000000" w:rsidR="00000000" w:rsidRPr="00000000">
        <w:rPr>
          <w:rFonts w:ascii="Arial" w:cs="Arial" w:eastAsia="Arial" w:hAnsi="Arial"/>
          <w:sz w:val="20"/>
          <w:szCs w:val="20"/>
          <w:rtl w:val="0"/>
        </w:rPr>
        <w:tab/>
        <w:tab/>
        <w:tab/>
        <w:tab/>
        <w:t xml:space="preserve">     </w:t>
        <w:tab/>
        <w:tab/>
        <w:t xml:space="preserve">                 </w:t>
      </w:r>
    </w:p>
    <w:p w:rsidR="00000000" w:rsidDel="00000000" w:rsidP="00000000" w:rsidRDefault="00000000" w:rsidRPr="00000000" w14:paraId="0000000A">
      <w:pPr>
        <w:spacing w:after="0" w:lineRule="auto"/>
        <w:ind w:left="252"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Other Attendees: Nichole Schmidt, Jenny Pine (Kraus Anderson), Janel Bitzan (BerganKDV)</w:t>
      </w:r>
    </w:p>
    <w:p w:rsidR="00000000" w:rsidDel="00000000" w:rsidP="00000000" w:rsidRDefault="00000000" w:rsidRPr="00000000" w14:paraId="0000000B">
      <w:pPr>
        <w:spacing w:after="0" w:lineRule="auto"/>
        <w:ind w:left="252"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spacing w:after="0" w:lineRule="auto"/>
        <w:ind w:left="4572" w:firstLine="468.0000000000001"/>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Mission</w:t>
      </w:r>
    </w:p>
    <w:p w:rsidR="00000000" w:rsidDel="00000000" w:rsidP="00000000" w:rsidRDefault="00000000" w:rsidRPr="00000000" w14:paraId="0000000D">
      <w:pPr>
        <w:spacing w:after="0" w:lineRule="auto"/>
        <w:ind w:left="252" w:firstLine="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E">
      <w:pPr>
        <w:spacing w:after="0" w:lineRule="auto"/>
        <w:ind w:left="252"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ab/>
        <w:t xml:space="preserve">Seven Hills Preparatory Academy engages students in a rigorous Classical education, </w:t>
      </w:r>
    </w:p>
    <w:p w:rsidR="00000000" w:rsidDel="00000000" w:rsidP="00000000" w:rsidRDefault="00000000" w:rsidRPr="00000000" w14:paraId="0000000F">
      <w:pPr>
        <w:spacing w:after="0" w:lineRule="auto"/>
        <w:ind w:left="252"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ab/>
        <w:tab/>
        <w:t xml:space="preserve">designed to prepare each one for strong citizenship and life-long learning.</w:t>
      </w:r>
    </w:p>
    <w:p w:rsidR="00000000" w:rsidDel="00000000" w:rsidP="00000000" w:rsidRDefault="00000000" w:rsidRPr="00000000" w14:paraId="00000010">
      <w:pPr>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1">
      <w:pPr>
        <w:jc w:val="center"/>
        <w:rPr>
          <w:rFonts w:ascii="Calibri" w:cs="Calibri" w:eastAsia="Calibri" w:hAnsi="Calibri"/>
          <w:b w:val="1"/>
        </w:rPr>
      </w:pPr>
      <w:r w:rsidDel="00000000" w:rsidR="00000000" w:rsidRPr="00000000">
        <w:rPr>
          <w:rFonts w:ascii="Calibri" w:cs="Calibri" w:eastAsia="Calibri" w:hAnsi="Calibri"/>
          <w:b w:val="1"/>
          <w:rtl w:val="0"/>
        </w:rPr>
        <w:t xml:space="preserve">Finance Committee Charter</w:t>
      </w:r>
    </w:p>
    <w:p w:rsidR="00000000" w:rsidDel="00000000" w:rsidP="00000000" w:rsidRDefault="00000000" w:rsidRPr="00000000" w14:paraId="00000012">
      <w:pPr>
        <w:rPr>
          <w:rFonts w:ascii="Calibri" w:cs="Calibri" w:eastAsia="Calibri" w:hAnsi="Calibri"/>
          <w:b w:val="1"/>
        </w:rPr>
      </w:pPr>
      <w:r w:rsidDel="00000000" w:rsidR="00000000" w:rsidRPr="00000000">
        <w:rPr>
          <w:rFonts w:ascii="Calibri" w:cs="Calibri" w:eastAsia="Calibri" w:hAnsi="Calibri"/>
          <w:b w:val="1"/>
          <w:rtl w:val="0"/>
        </w:rPr>
        <w:t xml:space="preserve">The Finance committee is a committee of the School Board of Directors. The purpose of this committee is to review the financial performance of the school, ensure that the school does not operate in a statutory deficit position, strive to achieve and maintain a 25% fund balance, and recommend and manage to an annual budget that accomplishes these goals and accounts for the long-term financial stability and health of the school. The committee shall be chaired by the SHPA School Board Treasurer and meet at a frequency as determined by its chair as necessary to accomplish its goals. This committee shall strive to secure membership on the committee of volunteers with financial management experience. This committee will also perform periodic reviews of the managerial controls regarding the handling of public funds and the record keeping of these activities.</w:t>
      </w:r>
    </w:p>
    <w:p w:rsidR="00000000" w:rsidDel="00000000" w:rsidP="00000000" w:rsidRDefault="00000000" w:rsidRPr="00000000" w14:paraId="00000013">
      <w:pPr>
        <w:rPr>
          <w:rFonts w:ascii="Calibri" w:cs="Calibri" w:eastAsia="Calibri" w:hAnsi="Calibri"/>
          <w:b w:val="1"/>
        </w:rPr>
      </w:pPr>
      <w:r w:rsidDel="00000000" w:rsidR="00000000" w:rsidRPr="00000000">
        <w:rPr>
          <w:rtl w:val="0"/>
        </w:rPr>
      </w:r>
    </w:p>
    <w:p w:rsidR="00000000" w:rsidDel="00000000" w:rsidP="00000000" w:rsidRDefault="00000000" w:rsidRPr="00000000" w14:paraId="00000014">
      <w:pPr>
        <w:numPr>
          <w:ilvl w:val="0"/>
          <w:numId w:val="1"/>
        </w:numPr>
        <w:spacing w:after="0" w:line="276" w:lineRule="auto"/>
        <w:ind w:lef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Janel Bitzan reviewed the final audited financial statements and related opinions.  The committee recommends that the Board approve the filing of these documents.</w:t>
      </w:r>
    </w:p>
    <w:p w:rsidR="00000000" w:rsidDel="00000000" w:rsidP="00000000" w:rsidRDefault="00000000" w:rsidRPr="00000000" w14:paraId="00000015">
      <w:pPr>
        <w:numPr>
          <w:ilvl w:val="0"/>
          <w:numId w:val="1"/>
        </w:numPr>
        <w:spacing w:after="0" w:line="276" w:lineRule="auto"/>
        <w:ind w:lef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Jenny Pine reviewed the options for renewal of health insurance for the staff.  Potential increases in premium ranged  from 20 to 35%. The committee had a lengthy discussion about the options and toward the end Jenny received a text from Medica reducing the increase from 29 to 23%.  The committee recommends that the Board approve the Medica proposal and delegate to the administration the allocation of the increase between the staff and the school.</w:t>
      </w:r>
    </w:p>
    <w:p w:rsidR="00000000" w:rsidDel="00000000" w:rsidP="00000000" w:rsidRDefault="00000000" w:rsidRPr="00000000" w14:paraId="00000016">
      <w:pPr>
        <w:numPr>
          <w:ilvl w:val="0"/>
          <w:numId w:val="1"/>
        </w:numPr>
        <w:spacing w:after="0" w:line="276" w:lineRule="auto"/>
        <w:ind w:lef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The remainder of the agenda for the meeting was deferred since the meeting ran substantially overtime.</w:t>
      </w:r>
    </w:p>
    <w:p w:rsidR="00000000" w:rsidDel="00000000" w:rsidP="00000000" w:rsidRDefault="00000000" w:rsidRPr="00000000" w14:paraId="00000017">
      <w:pPr>
        <w:spacing w:after="0" w:line="276" w:lineRule="auto"/>
        <w:ind w:lef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rPr>
          <w:rFonts w:ascii="Arial" w:cs="Arial" w:eastAsia="Arial" w:hAnsi="Arial"/>
          <w:sz w:val="20"/>
          <w:szCs w:val="20"/>
        </w:rPr>
      </w:pPr>
      <w:r w:rsidDel="00000000" w:rsidR="00000000" w:rsidRPr="00000000">
        <w:rPr>
          <w:rFonts w:ascii="Arial" w:cs="Arial" w:eastAsia="Arial" w:hAnsi="Arial"/>
          <w:sz w:val="20"/>
          <w:szCs w:val="20"/>
          <w:rtl w:val="0"/>
        </w:rPr>
        <w:t xml:space="preserve">Recommendations to SHPA Board of Directors for action at the November 3, 2022 meeting:</w:t>
      </w:r>
    </w:p>
    <w:p w:rsidR="00000000" w:rsidDel="00000000" w:rsidP="00000000" w:rsidRDefault="00000000" w:rsidRPr="00000000" w14:paraId="0000001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numPr>
          <w:ilvl w:val="0"/>
          <w:numId w:val="2"/>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Recommend approving the minutes of the November 1, 2022 Finance Committee meeting.</w:t>
      </w:r>
    </w:p>
    <w:p w:rsidR="00000000" w:rsidDel="00000000" w:rsidP="00000000" w:rsidRDefault="00000000" w:rsidRPr="00000000" w14:paraId="0000001B">
      <w:pPr>
        <w:numPr>
          <w:ilvl w:val="0"/>
          <w:numId w:val="2"/>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Recommend approving the filing of the final audit report.</w:t>
      </w:r>
    </w:p>
    <w:p w:rsidR="00000000" w:rsidDel="00000000" w:rsidP="00000000" w:rsidRDefault="00000000" w:rsidRPr="00000000" w14:paraId="0000001C">
      <w:pPr>
        <w:numPr>
          <w:ilvl w:val="0"/>
          <w:numId w:val="2"/>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Recommend approving the an insurance offer for the narrow network options at current rates with no change to staff, covering the 4.5% increase, provide all staff telemedicine app at $25,000, using the difference in the budget to subsidize the buy-up cost to the open network for a total package cost not to exceed $164,000.</w:t>
      </w:r>
    </w:p>
    <w:p w:rsidR="00000000" w:rsidDel="00000000" w:rsidP="00000000" w:rsidRDefault="00000000" w:rsidRPr="00000000" w14:paraId="0000001D">
      <w:pPr>
        <w:spacing w:after="200" w:line="276"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spacing w:after="200" w:line="276" w:lineRule="auto"/>
        <w:ind w:left="720" w:firstLine="0"/>
        <w:rPr>
          <w:rFonts w:ascii="Arial" w:cs="Arial" w:eastAsia="Arial" w:hAnsi="Arial"/>
          <w:sz w:val="20"/>
          <w:szCs w:val="20"/>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547"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abin">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 w:name="Gill Sans">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680"/>
        <w:tab w:val="right" w:pos="9360"/>
      </w:tabs>
      <w:spacing w:after="288" w:lineRule="auto"/>
      <w:rPr>
        <w:rFonts w:ascii="Cambria" w:cs="Cambria" w:eastAsia="Cambria" w:hAnsi="Cambria"/>
        <w:color w:val="000000"/>
        <w:sz w:val="22"/>
        <w:szCs w:val="22"/>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widowControl w:val="0"/>
      <w:spacing w:line="276" w:lineRule="auto"/>
      <w:rPr/>
    </w:pPr>
    <w:r w:rsidDel="00000000" w:rsidR="00000000" w:rsidRPr="00000000">
      <w:rPr>
        <w:rtl w:val="0"/>
      </w:rPr>
    </w:r>
  </w:p>
  <w:tbl>
    <w:tblPr>
      <w:tblStyle w:val="Table2"/>
      <w:tblW w:w="10908.0" w:type="dxa"/>
      <w:jc w:val="left"/>
      <w:tblInd w:w="-115.0" w:type="dxa"/>
      <w:tblLayout w:type="fixed"/>
      <w:tblLook w:val="0400"/>
    </w:tblPr>
    <w:tblGrid>
      <w:gridCol w:w="10908"/>
      <w:tblGridChange w:id="0">
        <w:tblGrid>
          <w:gridCol w:w="10908"/>
        </w:tblGrid>
      </w:tblGridChange>
    </w:tblGrid>
    <w:tr>
      <w:trPr>
        <w:cantSplit w:val="0"/>
        <w:tblHeader w:val="0"/>
      </w:trPr>
      <w:tc>
        <w:tcPr>
          <w:tcBorders>
            <w:top w:color="001a70" w:space="0" w:sz="24" w:val="single"/>
          </w:tcBorders>
          <w:shd w:fill="ffffff" w:val="clear"/>
        </w:tcPr>
        <w:p w:rsidR="00000000" w:rsidDel="00000000" w:rsidP="00000000" w:rsidRDefault="00000000" w:rsidRPr="00000000" w14:paraId="0000002A">
          <w:pPr>
            <w:spacing w:before="120" w:lineRule="auto"/>
            <w:rPr>
              <w:rFonts w:ascii="Cabin" w:cs="Cabin" w:eastAsia="Cabin" w:hAnsi="Cabin"/>
              <w:color w:val="001a70"/>
              <w:sz w:val="18"/>
              <w:szCs w:val="18"/>
            </w:rPr>
          </w:pPr>
          <w:r w:rsidDel="00000000" w:rsidR="00000000" w:rsidRPr="00000000">
            <w:rPr>
              <w:rFonts w:ascii="Cabin" w:cs="Cabin" w:eastAsia="Cabin" w:hAnsi="Cabin"/>
              <w:b w:val="1"/>
              <w:color w:val="001a70"/>
              <w:sz w:val="18"/>
              <w:szCs w:val="18"/>
              <w:rtl w:val="0"/>
            </w:rPr>
            <w:t xml:space="preserve">BLOOMINGTON CAMPUS</w:t>
          </w:r>
          <w:r w:rsidDel="00000000" w:rsidR="00000000" w:rsidRPr="00000000">
            <w:rPr>
              <w:rFonts w:ascii="Cabin" w:cs="Cabin" w:eastAsia="Cabin" w:hAnsi="Cabin"/>
              <w:color w:val="001a70"/>
              <w:sz w:val="18"/>
              <w:szCs w:val="18"/>
              <w:rtl w:val="0"/>
            </w:rPr>
            <w:t xml:space="preserve">: 8600 Bloomington Ave. S., Bloomington, MN 55425 | Office: (952) 426-6000, Fax: (952) 426-6020</w:t>
          </w:r>
        </w:p>
        <w:p w:rsidR="00000000" w:rsidDel="00000000" w:rsidP="00000000" w:rsidRDefault="00000000" w:rsidRPr="00000000" w14:paraId="0000002B">
          <w:pPr>
            <w:spacing w:before="120" w:line="360" w:lineRule="auto"/>
            <w:jc w:val="center"/>
            <w:rPr>
              <w:rFonts w:ascii="Cabin" w:cs="Cabin" w:eastAsia="Cabin" w:hAnsi="Cabin"/>
              <w:color w:val="001a70"/>
              <w:sz w:val="18"/>
              <w:szCs w:val="18"/>
            </w:rPr>
          </w:pPr>
          <w:r w:rsidDel="00000000" w:rsidR="00000000" w:rsidRPr="00000000">
            <w:rPr>
              <w:rFonts w:ascii="Cabin" w:cs="Cabin" w:eastAsia="Cabin" w:hAnsi="Cabin"/>
              <w:b w:val="1"/>
              <w:color w:val="001a70"/>
              <w:sz w:val="18"/>
              <w:szCs w:val="18"/>
              <w:rtl w:val="0"/>
            </w:rPr>
            <w:t xml:space="preserve">RICHFIELD CAMPUS</w:t>
          </w:r>
          <w:r w:rsidDel="00000000" w:rsidR="00000000" w:rsidRPr="00000000">
            <w:rPr>
              <w:rFonts w:ascii="Cabin" w:cs="Cabin" w:eastAsia="Cabin" w:hAnsi="Cabin"/>
              <w:color w:val="001a70"/>
              <w:sz w:val="18"/>
              <w:szCs w:val="18"/>
              <w:rtl w:val="0"/>
            </w:rPr>
            <w:t xml:space="preserve">: 1401 West 76</w:t>
          </w:r>
          <w:r w:rsidDel="00000000" w:rsidR="00000000" w:rsidRPr="00000000">
            <w:rPr>
              <w:rFonts w:ascii="Cabin" w:cs="Cabin" w:eastAsia="Cabin" w:hAnsi="Cabin"/>
              <w:color w:val="001a70"/>
              <w:sz w:val="18"/>
              <w:szCs w:val="18"/>
              <w:vertAlign w:val="superscript"/>
              <w:rtl w:val="0"/>
            </w:rPr>
            <w:t xml:space="preserve">th</w:t>
          </w:r>
          <w:r w:rsidDel="00000000" w:rsidR="00000000" w:rsidRPr="00000000">
            <w:rPr>
              <w:rFonts w:ascii="Cabin" w:cs="Cabin" w:eastAsia="Cabin" w:hAnsi="Cabin"/>
              <w:color w:val="001a70"/>
              <w:sz w:val="18"/>
              <w:szCs w:val="18"/>
              <w:rtl w:val="0"/>
            </w:rPr>
            <w:t xml:space="preserve"> Street, Richfield, MN 55423 | Office: (612) 314-7600, Fax: (612) 314-7609</w:t>
          </w:r>
        </w:p>
      </w:tc>
    </w:tr>
    <w:tr>
      <w:trPr>
        <w:cantSplit w:val="0"/>
        <w:tblHeader w:val="0"/>
      </w:trPr>
      <w:tc>
        <w:tcPr>
          <w:shd w:fill="ffffff" w:val="clear"/>
        </w:tcPr>
        <w:p w:rsidR="00000000" w:rsidDel="00000000" w:rsidP="00000000" w:rsidRDefault="00000000" w:rsidRPr="00000000" w14:paraId="0000002C">
          <w:pPr>
            <w:jc w:val="center"/>
            <w:rPr>
              <w:rFonts w:ascii="Cabin" w:cs="Cabin" w:eastAsia="Cabin" w:hAnsi="Cabin"/>
              <w:b w:val="1"/>
              <w:color w:val="001a70"/>
              <w:sz w:val="18"/>
              <w:szCs w:val="18"/>
            </w:rPr>
          </w:pPr>
          <w:r w:rsidDel="00000000" w:rsidR="00000000" w:rsidRPr="00000000">
            <w:rPr>
              <w:rFonts w:ascii="Cabin" w:cs="Cabin" w:eastAsia="Cabin" w:hAnsi="Cabin"/>
              <w:b w:val="1"/>
              <w:color w:val="001a70"/>
              <w:sz w:val="18"/>
              <w:szCs w:val="18"/>
              <w:rtl w:val="0"/>
            </w:rPr>
            <w:t xml:space="preserve">www.sevenhillspreparatoryacademy.org</w:t>
          </w:r>
        </w:p>
      </w:tc>
    </w:tr>
  </w:tbl>
  <w:p w:rsidR="00000000" w:rsidDel="00000000" w:rsidP="00000000" w:rsidRDefault="00000000" w:rsidRPr="00000000" w14:paraId="0000002D">
    <w:pPr>
      <w:tabs>
        <w:tab w:val="center" w:pos="4680"/>
        <w:tab w:val="right" w:pos="9360"/>
      </w:tabs>
      <w:spacing w:after="1297" w:lineRule="auto"/>
      <w:rPr>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320"/>
        <w:tab w:val="right" w:pos="8640"/>
      </w:tabs>
      <w:spacing w:before="432"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ind w:left="-720" w:firstLine="720"/>
      <w:jc w:val="right"/>
      <w:rPr>
        <w:rFonts w:ascii="Cabin" w:cs="Cabin" w:eastAsia="Cabin" w:hAnsi="Cabin"/>
        <w:i w:val="1"/>
        <w:color w:val="001a70"/>
        <w:sz w:val="30"/>
        <w:szCs w:val="3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-76198</wp:posOffset>
          </wp:positionH>
          <wp:positionV relativeFrom="paragraph">
            <wp:posOffset>128588</wp:posOffset>
          </wp:positionV>
          <wp:extent cx="2397125" cy="719138"/>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97125" cy="719138"/>
                  </a:xfrm>
                  <a:prstGeom prst="rect"/>
                  <a:ln/>
                </pic:spPr>
              </pic:pic>
            </a:graphicData>
          </a:graphic>
        </wp:anchor>
      </w:drawing>
    </w:r>
  </w:p>
  <w:p w:rsidR="00000000" w:rsidDel="00000000" w:rsidP="00000000" w:rsidRDefault="00000000" w:rsidRPr="00000000" w14:paraId="00000021">
    <w:pPr>
      <w:ind w:left="-720" w:firstLine="720"/>
      <w:jc w:val="right"/>
      <w:rPr>
        <w:rFonts w:ascii="Cabin" w:cs="Cabin" w:eastAsia="Cabin" w:hAnsi="Cabin"/>
        <w:i w:val="1"/>
        <w:color w:val="001a70"/>
        <w:sz w:val="30"/>
        <w:szCs w:val="30"/>
      </w:rPr>
    </w:pPr>
    <w:r w:rsidDel="00000000" w:rsidR="00000000" w:rsidRPr="00000000">
      <w:rPr>
        <w:rFonts w:ascii="Cabin" w:cs="Cabin" w:eastAsia="Cabin" w:hAnsi="Cabin"/>
        <w:i w:val="1"/>
        <w:color w:val="001a70"/>
        <w:sz w:val="28"/>
        <w:szCs w:val="28"/>
        <w:rtl w:val="0"/>
      </w:rPr>
      <w:t xml:space="preserve">Modesta Philologia. Fida Humanitas</w:t>
    </w:r>
    <w:r w:rsidDel="00000000" w:rsidR="00000000" w:rsidRPr="00000000">
      <w:rPr>
        <w:rFonts w:ascii="Cabin" w:cs="Cabin" w:eastAsia="Cabin" w:hAnsi="Cabin"/>
        <w:i w:val="1"/>
        <w:color w:val="001a70"/>
        <w:sz w:val="30"/>
        <w:szCs w:val="30"/>
        <w:rtl w:val="0"/>
      </w:rPr>
      <w:t xml:space="preserve"> </w:t>
    </w:r>
  </w:p>
  <w:p w:rsidR="00000000" w:rsidDel="00000000" w:rsidP="00000000" w:rsidRDefault="00000000" w:rsidRPr="00000000" w14:paraId="00000022">
    <w:pPr>
      <w:ind w:left="1440" w:firstLine="720"/>
      <w:jc w:val="right"/>
      <w:rPr>
        <w:rFonts w:ascii="Cabin" w:cs="Cabin" w:eastAsia="Cabin" w:hAnsi="Cabin"/>
        <w:i w:val="1"/>
        <w:color w:val="001a70"/>
        <w:sz w:val="30"/>
        <w:szCs w:val="30"/>
      </w:rPr>
    </w:pPr>
    <w:r w:rsidDel="00000000" w:rsidR="00000000" w:rsidRPr="00000000">
      <w:rPr>
        <w:rFonts w:ascii="Cabin" w:cs="Cabin" w:eastAsia="Cabin" w:hAnsi="Cabin"/>
        <w:i w:val="1"/>
        <w:color w:val="001a70"/>
        <w:rtl w:val="0"/>
      </w:rPr>
      <w:t xml:space="preserve">Disciplined Learning. Responsible Citizenship</w:t>
    </w:r>
    <w:r w:rsidDel="00000000" w:rsidR="00000000" w:rsidRPr="00000000">
      <w:rPr>
        <w:rFonts w:ascii="Cabin" w:cs="Cabin" w:eastAsia="Cabin" w:hAnsi="Cabin"/>
        <w:i w:val="1"/>
        <w:color w:val="001a70"/>
        <w:sz w:val="28"/>
        <w:szCs w:val="28"/>
        <w:rtl w:val="0"/>
      </w:rPr>
      <w:t xml:space="preserve"> </w:t>
    </w:r>
    <w:r w:rsidDel="00000000" w:rsidR="00000000" w:rsidRPr="00000000">
      <w:rPr>
        <w:rFonts w:ascii="Cabin" w:cs="Cabin" w:eastAsia="Cabin" w:hAnsi="Cabin"/>
        <w:i w:val="1"/>
        <w:color w:val="001a70"/>
        <w:sz w:val="30"/>
        <w:szCs w:val="30"/>
        <w:rtl w:val="0"/>
      </w:rPr>
      <w:t xml:space="preserve">          </w:t>
    </w:r>
  </w:p>
  <w:p w:rsidR="00000000" w:rsidDel="00000000" w:rsidP="00000000" w:rsidRDefault="00000000" w:rsidRPr="00000000" w14:paraId="00000023">
    <w:pPr>
      <w:rPr>
        <w:rFonts w:ascii="Gill Sans" w:cs="Gill Sans" w:eastAsia="Gill Sans" w:hAnsi="Gill Sans"/>
      </w:rPr>
    </w:pPr>
    <w:r w:rsidDel="00000000" w:rsidR="00000000" w:rsidRPr="00000000">
      <w:rPr>
        <w:rtl w:val="0"/>
      </w:rPr>
    </w:r>
  </w:p>
  <w:tbl>
    <w:tblPr>
      <w:tblStyle w:val="Table1"/>
      <w:tblW w:w="1081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18"/>
      <w:tblGridChange w:id="0">
        <w:tblGrid>
          <w:gridCol w:w="10818"/>
        </w:tblGrid>
      </w:tblGridChange>
    </w:tblGrid>
    <w:tr>
      <w:trPr>
        <w:cantSplit w:val="0"/>
        <w:trHeight w:val="40" w:hRule="atLeast"/>
        <w:tblHeader w:val="0"/>
      </w:trPr>
      <w:tc>
        <w:tcPr>
          <w:tcBorders>
            <w:top w:color="001a70" w:space="0" w:sz="24" w:val="single"/>
            <w:left w:color="000000" w:space="0" w:sz="0" w:val="nil"/>
            <w:bottom w:color="ecc558" w:space="0" w:sz="12" w:val="single"/>
            <w:right w:color="000000" w:space="0" w:sz="0" w:val="nil"/>
          </w:tcBorders>
        </w:tcPr>
        <w:p w:rsidR="00000000" w:rsidDel="00000000" w:rsidP="00000000" w:rsidRDefault="00000000" w:rsidRPr="00000000" w14:paraId="00000024">
          <w:pPr>
            <w:ind w:hanging="720"/>
            <w:rPr>
              <w:rFonts w:ascii="Cabin" w:cs="Cabin" w:eastAsia="Cabin" w:hAnsi="Cabin"/>
              <w:i w:val="1"/>
              <w:color w:val="001a70"/>
              <w:sz w:val="2"/>
              <w:szCs w:val="2"/>
            </w:rPr>
          </w:pPr>
          <w:r w:rsidDel="00000000" w:rsidR="00000000" w:rsidRPr="00000000">
            <w:rPr>
              <w:rtl w:val="0"/>
            </w:rPr>
          </w:r>
        </w:p>
      </w:tc>
    </w:tr>
    <w:tr>
      <w:trPr>
        <w:cantSplit w:val="0"/>
        <w:trHeight w:val="80" w:hRule="atLeast"/>
        <w:tblHeader w:val="0"/>
      </w:trPr>
      <w:tc>
        <w:tcPr>
          <w:tcBorders>
            <w:top w:color="ecc558" w:space="0" w:sz="12" w:val="single"/>
            <w:left w:color="000000" w:space="0" w:sz="0" w:val="nil"/>
            <w:bottom w:color="000000" w:space="0" w:sz="0" w:val="nil"/>
            <w:right w:color="000000" w:space="0" w:sz="0" w:val="nil"/>
          </w:tcBorders>
        </w:tcPr>
        <w:p w:rsidR="00000000" w:rsidDel="00000000" w:rsidP="00000000" w:rsidRDefault="00000000" w:rsidRPr="00000000" w14:paraId="00000025">
          <w:pPr>
            <w:rPr>
              <w:rFonts w:ascii="Cabin" w:cs="Cabin" w:eastAsia="Cabin" w:hAnsi="Cabin"/>
              <w:i w:val="1"/>
              <w:color w:val="001a70"/>
              <w:sz w:val="2"/>
              <w:szCs w:val="2"/>
            </w:rPr>
          </w:pPr>
          <w:r w:rsidDel="00000000" w:rsidR="00000000" w:rsidRPr="00000000">
            <w:rPr>
              <w:rtl w:val="0"/>
            </w:rPr>
          </w:r>
        </w:p>
        <w:p w:rsidR="00000000" w:rsidDel="00000000" w:rsidP="00000000" w:rsidRDefault="00000000" w:rsidRPr="00000000" w14:paraId="00000026">
          <w:pPr>
            <w:rPr>
              <w:rFonts w:ascii="Cabin" w:cs="Cabin" w:eastAsia="Cabin" w:hAnsi="Cabin"/>
              <w:i w:val="1"/>
              <w:color w:val="001a70"/>
              <w:sz w:val="2"/>
              <w:szCs w:val="2"/>
            </w:rPr>
          </w:pPr>
          <w:r w:rsidDel="00000000" w:rsidR="00000000" w:rsidRPr="00000000">
            <w:rPr>
              <w:rtl w:val="0"/>
            </w:rPr>
          </w:r>
        </w:p>
      </w:tc>
    </w:tr>
  </w:tb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320"/>
        <w:tab w:val="right" w:pos="8640"/>
      </w:tabs>
      <w:rPr>
        <w:color w:val="000000"/>
        <w:sz w:val="12"/>
        <w:szCs w:val="1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color w:val="00000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120" w:lineRule="auto"/>
      <w:jc w:val="center"/>
    </w:pPr>
    <w:rPr>
      <w:rFonts w:ascii="Cabin" w:cs="Cabin" w:eastAsia="Cabin" w:hAnsi="Cabin"/>
      <w:b w:val="1"/>
      <w:sz w:val="48"/>
      <w:szCs w:val="48"/>
    </w:rPr>
  </w:style>
  <w:style w:type="paragraph" w:styleId="Heading2">
    <w:name w:val="heading 2"/>
    <w:basedOn w:val="Normal"/>
    <w:next w:val="Normal"/>
    <w:pPr>
      <w:keepNext w:val="1"/>
      <w:keepLines w:val="1"/>
      <w:spacing w:after="120" w:before="120" w:lineRule="auto"/>
      <w:jc w:val="center"/>
    </w:pPr>
    <w:rPr>
      <w:rFonts w:ascii="Cabin" w:cs="Cabin" w:eastAsia="Cabin" w:hAnsi="Cabin"/>
      <w:b w:val="1"/>
      <w:sz w:val="16"/>
      <w:szCs w:val="1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120"/>
      <w:jc w:val="center"/>
      <w:outlineLvl w:val="0"/>
    </w:pPr>
    <w:rPr>
      <w:rFonts w:ascii="Cabin" w:cs="Cabin" w:eastAsia="Cabin" w:hAnsi="Cabin"/>
      <w:b w:val="1"/>
      <w:sz w:val="48"/>
      <w:szCs w:val="48"/>
    </w:rPr>
  </w:style>
  <w:style w:type="paragraph" w:styleId="Heading2">
    <w:name w:val="heading 2"/>
    <w:basedOn w:val="Normal"/>
    <w:next w:val="Normal"/>
    <w:uiPriority w:val="9"/>
    <w:semiHidden w:val="1"/>
    <w:unhideWhenUsed w:val="1"/>
    <w:qFormat w:val="1"/>
    <w:pPr>
      <w:keepNext w:val="1"/>
      <w:keepLines w:val="1"/>
      <w:spacing w:after="120" w:before="120"/>
      <w:jc w:val="center"/>
      <w:outlineLvl w:val="1"/>
    </w:pPr>
    <w:rPr>
      <w:rFonts w:ascii="Cabin" w:cs="Cabin" w:eastAsia="Cabin" w:hAnsi="Cabin"/>
      <w:b w:val="1"/>
      <w:sz w:val="16"/>
      <w:szCs w:val="1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paragraph" w:styleId="ListParagraph">
    <w:name w:val="List Paragraph"/>
    <w:basedOn w:val="Normal"/>
    <w:uiPriority w:val="34"/>
    <w:qFormat w:val="1"/>
    <w:rsid w:val="00F10E4D"/>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10" Type="http://schemas.openxmlformats.org/officeDocument/2006/relationships/font" Target="fonts/GillSans-bold.ttf"/><Relationship Id="rId9" Type="http://schemas.openxmlformats.org/officeDocument/2006/relationships/font" Target="fonts/GillSans-regular.ttf"/><Relationship Id="rId5" Type="http://schemas.openxmlformats.org/officeDocument/2006/relationships/font" Target="fonts/Cabin-regular.ttf"/><Relationship Id="rId6" Type="http://schemas.openxmlformats.org/officeDocument/2006/relationships/font" Target="fonts/Cabin-bold.ttf"/><Relationship Id="rId7" Type="http://schemas.openxmlformats.org/officeDocument/2006/relationships/font" Target="fonts/Cabin-italic.ttf"/><Relationship Id="rId8" Type="http://schemas.openxmlformats.org/officeDocument/2006/relationships/font" Target="fonts/Cabin-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ismfJgfY3Ozv5F4lA2b6J82BnQ==">AMUW2mVn7rqplBa2LTTtKmNW8w8mhjNsOxHempRIoegjT828IK1wFU5WbSLxDomwhu/2oh/21/ev6CVbG7O3qkE9VpBwGYh/8Tpyq3DR45D3A4w02Xv3ro4=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2022-11-03T13:39:00Z</dcterms:created>
</cp:coreProperties>
</file>